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2655" w14:textId="77777777" w:rsidR="003B1A12" w:rsidRDefault="002F0232" w:rsidP="009F492B">
      <w:pPr>
        <w:jc w:val="center"/>
        <w:rPr>
          <w:rFonts w:ascii="Futura Lt BT" w:eastAsia="Times New Roman" w:hAnsi="Futura Lt BT" w:cs="Courier New"/>
          <w:b/>
          <w:bCs/>
          <w:color w:val="000000"/>
          <w:sz w:val="32"/>
          <w:szCs w:val="32"/>
          <w:lang w:eastAsia="es-NI"/>
        </w:rPr>
      </w:pPr>
      <w:r w:rsidRPr="00491182">
        <w:rPr>
          <w:rFonts w:ascii="Futura Lt BT" w:hAnsi="Futura Lt B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7DB98A9" wp14:editId="7E7C5319">
            <wp:simplePos x="0" y="0"/>
            <wp:positionH relativeFrom="page">
              <wp:posOffset>2095</wp:posOffset>
            </wp:positionH>
            <wp:positionV relativeFrom="page">
              <wp:posOffset>12032</wp:posOffset>
            </wp:positionV>
            <wp:extent cx="7761009" cy="1929600"/>
            <wp:effectExtent l="0" t="0" r="0" b="0"/>
            <wp:wrapTight wrapText="bothSides">
              <wp:wrapPolygon edited="0">
                <wp:start x="0" y="0"/>
                <wp:lineTo x="0" y="21330"/>
                <wp:lineTo x="21526" y="21330"/>
                <wp:lineTo x="2152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ta de Prensa 2026 superi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009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92B" w:rsidRPr="009F492B">
        <w:rPr>
          <w:rFonts w:ascii="Futura Lt BT" w:eastAsia="Times New Roman" w:hAnsi="Futura Lt BT" w:cs="Courier New"/>
          <w:b/>
          <w:bCs/>
          <w:color w:val="000000"/>
          <w:sz w:val="32"/>
          <w:szCs w:val="32"/>
          <w:lang w:eastAsia="es-NI"/>
        </w:rPr>
        <w:t xml:space="preserve"> </w:t>
      </w:r>
    </w:p>
    <w:p w14:paraId="5D055F9F" w14:textId="35159A2B" w:rsidR="009F492B" w:rsidRPr="006F063E" w:rsidRDefault="003C4BBF" w:rsidP="006F063E">
      <w:pPr>
        <w:spacing w:line="520" w:lineRule="atLeast"/>
        <w:ind w:right="-1085"/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</w:pPr>
      <w:bookmarkStart w:id="0" w:name="_Hlk230602094"/>
      <w:proofErr w:type="gramStart"/>
      <w:r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 xml:space="preserve">BCN </w:t>
      </w:r>
      <w:r w:rsidR="006F063E"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>:</w:t>
      </w:r>
      <w:proofErr w:type="gramEnd"/>
      <w:r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 xml:space="preserve"> EVOLUCIÓN ÍNDICE MENSUAL</w:t>
      </w:r>
      <w:r w:rsid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br/>
      </w:r>
      <w:r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>ACTIVIDAD</w:t>
      </w:r>
      <w:r w:rsid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 xml:space="preserve"> </w:t>
      </w:r>
      <w:r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>ECONÓMICA (IMAE)</w:t>
      </w:r>
      <w:r w:rsidR="006F063E"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 xml:space="preserve"> /</w:t>
      </w:r>
      <w:r w:rsidRPr="006F063E">
        <w:rPr>
          <w:rFonts w:ascii="Futura Lt BT" w:eastAsia="Times New Roman" w:hAnsi="Futura Lt BT" w:cs="Courier New"/>
          <w:b/>
          <w:bCs/>
          <w:color w:val="000000"/>
          <w:sz w:val="35"/>
          <w:szCs w:val="35"/>
          <w:lang w:eastAsia="es-NI"/>
        </w:rPr>
        <w:t xml:space="preserve"> MARZO 2026</w:t>
      </w:r>
    </w:p>
    <w:bookmarkEnd w:id="0"/>
    <w:p w14:paraId="32324150" w14:textId="77777777" w:rsidR="009F492B" w:rsidRPr="003C4BBF" w:rsidRDefault="009F492B" w:rsidP="003C4BBF">
      <w:pPr>
        <w:spacing w:line="520" w:lineRule="atLeast"/>
        <w:jc w:val="both"/>
        <w:rPr>
          <w:rFonts w:ascii="Futura Lt BT" w:hAnsi="Futura Lt BT" w:cs="Courier New"/>
          <w:b/>
          <w:bCs/>
          <w:sz w:val="24"/>
          <w:szCs w:val="24"/>
        </w:rPr>
      </w:pPr>
    </w:p>
    <w:p w14:paraId="4D0058C7" w14:textId="77777777" w:rsidR="009F492B" w:rsidRPr="003C4BBF" w:rsidRDefault="009F492B" w:rsidP="003C4BBF">
      <w:pPr>
        <w:pStyle w:val="Asuntodelcomentario"/>
        <w:spacing w:line="520" w:lineRule="atLeast"/>
        <w:jc w:val="both"/>
        <w:rPr>
          <w:rFonts w:ascii="Futura Lt BT" w:eastAsia="Calibri" w:hAnsi="Futura Lt BT" w:cs="Courier New"/>
          <w:sz w:val="34"/>
          <w:szCs w:val="34"/>
        </w:rPr>
      </w:pPr>
      <w:r w:rsidRPr="003C4BBF">
        <w:rPr>
          <w:rFonts w:ascii="Futura Lt BT" w:eastAsia="Calibri" w:hAnsi="Futura Lt BT" w:cs="Courier New"/>
          <w:sz w:val="34"/>
          <w:szCs w:val="34"/>
        </w:rPr>
        <w:t xml:space="preserve">El Banco Central de Nicaragua (BCN) publicó el Índice Mensual de Actividad Económica (IMAE) correspondiente a 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marzo</w:t>
      </w:r>
      <w:r w:rsidRPr="003C4BBF">
        <w:rPr>
          <w:rFonts w:ascii="Futura Lt BT" w:eastAsia="Calibri" w:hAnsi="Futura Lt BT" w:cs="Courier New"/>
          <w:sz w:val="34"/>
          <w:szCs w:val="34"/>
        </w:rPr>
        <w:t xml:space="preserve"> de 202</w:t>
      </w:r>
      <w:r w:rsidR="00F917AA" w:rsidRPr="003C4BBF">
        <w:rPr>
          <w:rFonts w:ascii="Futura Lt BT" w:eastAsia="Calibri" w:hAnsi="Futura Lt BT" w:cs="Courier New"/>
          <w:sz w:val="34"/>
          <w:szCs w:val="34"/>
        </w:rPr>
        <w:t>6</w:t>
      </w:r>
      <w:r w:rsidRPr="003C4BBF">
        <w:rPr>
          <w:rFonts w:ascii="Futura Lt BT" w:eastAsia="Calibri" w:hAnsi="Futura Lt BT" w:cs="Courier New"/>
          <w:sz w:val="34"/>
          <w:szCs w:val="34"/>
        </w:rPr>
        <w:t xml:space="preserve">, 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 xml:space="preserve">el cual </w:t>
      </w:r>
      <w:r w:rsidR="00EF450F" w:rsidRPr="003C4BBF">
        <w:rPr>
          <w:rFonts w:ascii="Futura Lt BT" w:eastAsia="Calibri" w:hAnsi="Futura Lt BT" w:cs="Courier New"/>
          <w:sz w:val="34"/>
          <w:szCs w:val="34"/>
        </w:rPr>
        <w:t>reflejó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 xml:space="preserve"> </w:t>
      </w:r>
      <w:r w:rsidR="002C68EB" w:rsidRPr="003C4BBF">
        <w:rPr>
          <w:rFonts w:ascii="Futura Lt BT" w:eastAsia="Calibri" w:hAnsi="Futura Lt BT" w:cs="Courier New"/>
          <w:sz w:val="34"/>
          <w:szCs w:val="34"/>
        </w:rPr>
        <w:t>que</w:t>
      </w:r>
      <w:r w:rsidR="00EF450F" w:rsidRPr="003C4BBF">
        <w:rPr>
          <w:rFonts w:ascii="Futura Lt BT" w:eastAsia="Calibri" w:hAnsi="Futura Lt BT" w:cs="Courier New"/>
          <w:sz w:val="34"/>
          <w:szCs w:val="34"/>
        </w:rPr>
        <w:t xml:space="preserve"> l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 xml:space="preserve">a </w:t>
      </w:r>
      <w:r w:rsidR="008C44DC" w:rsidRPr="003C4BBF">
        <w:rPr>
          <w:rFonts w:ascii="Futura Lt BT" w:eastAsia="Calibri" w:hAnsi="Futura Lt BT" w:cs="Courier New"/>
          <w:sz w:val="34"/>
          <w:szCs w:val="34"/>
        </w:rPr>
        <w:t xml:space="preserve">actividad económica </w:t>
      </w:r>
      <w:r w:rsidR="002C68EB" w:rsidRPr="003C4BBF">
        <w:rPr>
          <w:rFonts w:ascii="Futura Lt BT" w:eastAsia="Calibri" w:hAnsi="Futura Lt BT" w:cs="Courier New"/>
          <w:sz w:val="34"/>
          <w:szCs w:val="34"/>
        </w:rPr>
        <w:t>mantuvo</w:t>
      </w:r>
      <w:r w:rsidR="00EF450F" w:rsidRPr="003C4BBF">
        <w:rPr>
          <w:rFonts w:ascii="Futura Lt BT" w:eastAsia="Calibri" w:hAnsi="Futura Lt BT" w:cs="Courier New"/>
          <w:sz w:val="34"/>
          <w:szCs w:val="34"/>
        </w:rPr>
        <w:t xml:space="preserve"> su</w:t>
      </w:r>
      <w:r w:rsidR="003F4B9E" w:rsidRPr="003C4BBF">
        <w:rPr>
          <w:rFonts w:ascii="Futura Lt BT" w:eastAsia="Calibri" w:hAnsi="Futura Lt BT" w:cs="Courier New"/>
          <w:sz w:val="34"/>
          <w:szCs w:val="34"/>
        </w:rPr>
        <w:t xml:space="preserve"> dinamismo observado desde inicio de año, al registrar un </w:t>
      </w:r>
      <w:r w:rsidR="00EF450F" w:rsidRPr="003C4BBF">
        <w:rPr>
          <w:rFonts w:ascii="Futura Lt BT" w:eastAsia="Calibri" w:hAnsi="Futura Lt BT" w:cs="Courier New"/>
          <w:sz w:val="34"/>
          <w:szCs w:val="34"/>
        </w:rPr>
        <w:t>crecimiento</w:t>
      </w:r>
      <w:r w:rsidR="003F4B9E" w:rsidRPr="003C4BBF">
        <w:rPr>
          <w:rFonts w:ascii="Futura Lt BT" w:eastAsia="Calibri" w:hAnsi="Futura Lt BT" w:cs="Courier New"/>
          <w:sz w:val="34"/>
          <w:szCs w:val="34"/>
        </w:rPr>
        <w:t xml:space="preserve"> </w:t>
      </w:r>
      <w:r w:rsidRPr="003C4BBF">
        <w:rPr>
          <w:rFonts w:ascii="Futura Lt BT" w:eastAsia="Calibri" w:hAnsi="Futura Lt BT" w:cs="Courier New"/>
          <w:sz w:val="34"/>
          <w:szCs w:val="34"/>
        </w:rPr>
        <w:t xml:space="preserve">de 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5.3</w:t>
      </w:r>
      <w:r w:rsidRPr="003C4BBF">
        <w:rPr>
          <w:rFonts w:ascii="Futura Lt BT" w:eastAsia="Calibri" w:hAnsi="Futura Lt BT" w:cs="Courier New"/>
          <w:sz w:val="34"/>
          <w:szCs w:val="34"/>
        </w:rPr>
        <w:t xml:space="preserve"> por ciento con relación a 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marzo</w:t>
      </w:r>
      <w:r w:rsidRPr="003C4BBF">
        <w:rPr>
          <w:rFonts w:ascii="Futura Lt BT" w:eastAsia="Calibri" w:hAnsi="Futura Lt BT" w:cs="Courier New"/>
          <w:sz w:val="34"/>
          <w:szCs w:val="34"/>
        </w:rPr>
        <w:t xml:space="preserve"> de 202</w:t>
      </w:r>
      <w:r w:rsidR="00F917AA" w:rsidRPr="003C4BBF">
        <w:rPr>
          <w:rFonts w:ascii="Futura Lt BT" w:eastAsia="Calibri" w:hAnsi="Futura Lt BT" w:cs="Courier New"/>
          <w:sz w:val="34"/>
          <w:szCs w:val="34"/>
        </w:rPr>
        <w:t>5</w:t>
      </w:r>
      <w:r w:rsidR="008C44DC" w:rsidRPr="003C4BBF">
        <w:rPr>
          <w:rFonts w:ascii="Futura Lt BT" w:eastAsia="Calibri" w:hAnsi="Futura Lt BT" w:cs="Courier New"/>
          <w:sz w:val="34"/>
          <w:szCs w:val="34"/>
        </w:rPr>
        <w:t xml:space="preserve"> (6.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3</w:t>
      </w:r>
      <w:r w:rsidR="008C44DC" w:rsidRPr="003C4BBF">
        <w:rPr>
          <w:rFonts w:ascii="Futura Lt BT" w:eastAsia="Calibri" w:hAnsi="Futura Lt BT" w:cs="Courier New"/>
          <w:sz w:val="34"/>
          <w:szCs w:val="34"/>
        </w:rPr>
        <w:t>% en el mes anterior)</w:t>
      </w:r>
      <w:r w:rsidR="008F79DB" w:rsidRPr="003C4BBF">
        <w:rPr>
          <w:rFonts w:ascii="Futura Lt BT" w:eastAsia="Calibri" w:hAnsi="Futura Lt BT" w:cs="Courier New"/>
          <w:sz w:val="34"/>
          <w:szCs w:val="34"/>
        </w:rPr>
        <w:t xml:space="preserve">; 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con dicho resultado</w:t>
      </w:r>
      <w:r w:rsidR="008F79DB" w:rsidRPr="003C4BBF">
        <w:rPr>
          <w:rFonts w:ascii="Futura Lt BT" w:eastAsia="Calibri" w:hAnsi="Futura Lt BT" w:cs="Courier New"/>
          <w:sz w:val="34"/>
          <w:szCs w:val="34"/>
        </w:rPr>
        <w:t xml:space="preserve">, </w:t>
      </w:r>
      <w:r w:rsidR="003F4B9E" w:rsidRPr="003C4BBF">
        <w:rPr>
          <w:rFonts w:ascii="Futura Lt BT" w:eastAsia="Calibri" w:hAnsi="Futura Lt BT" w:cs="Courier New"/>
          <w:sz w:val="34"/>
          <w:szCs w:val="34"/>
        </w:rPr>
        <w:t xml:space="preserve">el crecimiento 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>acumulad</w:t>
      </w:r>
      <w:r w:rsidR="003F4B9E" w:rsidRPr="003C4BBF">
        <w:rPr>
          <w:rFonts w:ascii="Futura Lt BT" w:eastAsia="Calibri" w:hAnsi="Futura Lt BT" w:cs="Courier New"/>
          <w:sz w:val="34"/>
          <w:szCs w:val="34"/>
        </w:rPr>
        <w:t>o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 xml:space="preserve"> en el período enero-</w:t>
      </w:r>
      <w:r w:rsidR="003F4B9E" w:rsidRPr="003C4BBF">
        <w:rPr>
          <w:rFonts w:ascii="Futura Lt BT" w:eastAsia="Calibri" w:hAnsi="Futura Lt BT" w:cs="Courier New"/>
          <w:sz w:val="34"/>
          <w:szCs w:val="34"/>
        </w:rPr>
        <w:t>marzo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 xml:space="preserve"> se ubicó en </w:t>
      </w:r>
      <w:r w:rsidR="008C44DC" w:rsidRPr="003C4BBF">
        <w:rPr>
          <w:rFonts w:ascii="Futura Lt BT" w:eastAsia="Calibri" w:hAnsi="Futura Lt BT" w:cs="Courier New"/>
          <w:sz w:val="34"/>
          <w:szCs w:val="34"/>
        </w:rPr>
        <w:t>6.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0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 xml:space="preserve"> por ciento</w:t>
      </w:r>
      <w:r w:rsidR="00BF489C" w:rsidRPr="003C4BBF">
        <w:rPr>
          <w:rFonts w:ascii="Futura Lt BT" w:eastAsia="Calibri" w:hAnsi="Futura Lt BT" w:cs="Courier New"/>
          <w:sz w:val="34"/>
          <w:szCs w:val="34"/>
        </w:rPr>
        <w:t>,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 xml:space="preserve"> y la variación promedio </w:t>
      </w:r>
      <w:r w:rsidR="008F79DB" w:rsidRPr="003C4BBF">
        <w:rPr>
          <w:rFonts w:ascii="Futura Lt BT" w:eastAsia="Calibri" w:hAnsi="Futura Lt BT" w:cs="Courier New"/>
          <w:sz w:val="34"/>
          <w:szCs w:val="34"/>
        </w:rPr>
        <w:t xml:space="preserve">anual 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>resultó en 5.</w:t>
      </w:r>
      <w:r w:rsidR="00990AD7" w:rsidRPr="003C4BBF">
        <w:rPr>
          <w:rFonts w:ascii="Futura Lt BT" w:eastAsia="Calibri" w:hAnsi="Futura Lt BT" w:cs="Courier New"/>
          <w:sz w:val="34"/>
          <w:szCs w:val="34"/>
        </w:rPr>
        <w:t>7</w:t>
      </w:r>
      <w:r w:rsidR="007B0AF6" w:rsidRPr="003C4BBF">
        <w:rPr>
          <w:rFonts w:ascii="Futura Lt BT" w:eastAsia="Calibri" w:hAnsi="Futura Lt BT" w:cs="Courier New"/>
          <w:sz w:val="34"/>
          <w:szCs w:val="34"/>
        </w:rPr>
        <w:t xml:space="preserve"> por ciento</w:t>
      </w:r>
      <w:r w:rsidR="00B373F2" w:rsidRPr="003C4BBF">
        <w:rPr>
          <w:rFonts w:ascii="Futura Lt BT" w:eastAsia="Calibri" w:hAnsi="Futura Lt BT" w:cs="Courier New"/>
          <w:sz w:val="34"/>
          <w:szCs w:val="34"/>
        </w:rPr>
        <w:t>.</w:t>
      </w:r>
    </w:p>
    <w:p w14:paraId="215AA568" w14:textId="77777777" w:rsidR="009F492B" w:rsidRPr="003C4BBF" w:rsidRDefault="009F492B" w:rsidP="003C4BBF">
      <w:pPr>
        <w:pStyle w:val="Textocomentario"/>
        <w:spacing w:line="520" w:lineRule="atLeast"/>
        <w:rPr>
          <w:b/>
          <w:bCs/>
          <w:sz w:val="34"/>
          <w:szCs w:val="34"/>
        </w:rPr>
      </w:pPr>
    </w:p>
    <w:p w14:paraId="2D885BD4" w14:textId="77777777" w:rsidR="009F492B" w:rsidRPr="003C4BBF" w:rsidRDefault="009F492B" w:rsidP="003C4BBF">
      <w:pPr>
        <w:pStyle w:val="Textocomentario"/>
        <w:spacing w:line="520" w:lineRule="atLeast"/>
        <w:jc w:val="both"/>
        <w:rPr>
          <w:rFonts w:ascii="Futura Lt BT" w:hAnsi="Futura Lt BT" w:cs="Courier New"/>
          <w:b/>
          <w:bCs/>
          <w:sz w:val="34"/>
          <w:szCs w:val="34"/>
        </w:rPr>
      </w:pP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En la serie desestacionalizada del IMAE, se registró 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>un nivel similar al observado en el mes anterior y un crecimiento de 4.7 con relación a marzo de 2025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>. Por su parte, en la serie de tendencia-ciclo del IMAE, se registró un crecimiento de 0.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>1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por ciento respecto a 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lastRenderedPageBreak/>
        <w:t>febrero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de 202</w:t>
      </w:r>
      <w:r w:rsidR="007B0AF6" w:rsidRPr="003C4BBF">
        <w:rPr>
          <w:rFonts w:ascii="Futura Lt BT" w:hAnsi="Futura Lt BT" w:cs="Courier New"/>
          <w:b/>
          <w:bCs/>
          <w:sz w:val="34"/>
          <w:szCs w:val="34"/>
        </w:rPr>
        <w:t>6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y de </w:t>
      </w:r>
      <w:r w:rsidR="00F917AA" w:rsidRPr="003C4BBF">
        <w:rPr>
          <w:rFonts w:ascii="Futura Lt BT" w:hAnsi="Futura Lt BT" w:cs="Courier New"/>
          <w:b/>
          <w:bCs/>
          <w:sz w:val="34"/>
          <w:szCs w:val="34"/>
        </w:rPr>
        <w:t>5</w:t>
      </w:r>
      <w:r w:rsidR="007B0AF6" w:rsidRPr="003C4BBF">
        <w:rPr>
          <w:rFonts w:ascii="Futura Lt BT" w:hAnsi="Futura Lt BT" w:cs="Courier New"/>
          <w:b/>
          <w:bCs/>
          <w:sz w:val="34"/>
          <w:szCs w:val="34"/>
        </w:rPr>
        <w:t>.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>3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por ciento con relación a </w:t>
      </w:r>
      <w:r w:rsidR="003F4B9E" w:rsidRPr="003C4BBF">
        <w:rPr>
          <w:rFonts w:ascii="Futura Lt BT" w:hAnsi="Futura Lt BT" w:cs="Courier New"/>
          <w:b/>
          <w:bCs/>
          <w:sz w:val="34"/>
          <w:szCs w:val="34"/>
        </w:rPr>
        <w:t>marzo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de 202</w:t>
      </w:r>
      <w:r w:rsidR="00F917AA" w:rsidRPr="003C4BBF">
        <w:rPr>
          <w:rFonts w:ascii="Futura Lt BT" w:hAnsi="Futura Lt BT" w:cs="Courier New"/>
          <w:b/>
          <w:bCs/>
          <w:sz w:val="34"/>
          <w:szCs w:val="34"/>
        </w:rPr>
        <w:t>5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>.</w:t>
      </w:r>
    </w:p>
    <w:p w14:paraId="63378DB5" w14:textId="77777777" w:rsidR="009F492B" w:rsidRPr="003C4BBF" w:rsidRDefault="009F492B" w:rsidP="003C4BBF">
      <w:pPr>
        <w:pStyle w:val="Textocomentario"/>
        <w:spacing w:line="520" w:lineRule="atLeast"/>
        <w:rPr>
          <w:b/>
          <w:bCs/>
          <w:sz w:val="34"/>
          <w:szCs w:val="34"/>
        </w:rPr>
      </w:pPr>
    </w:p>
    <w:p w14:paraId="654453B6" w14:textId="77777777" w:rsidR="009F492B" w:rsidRPr="003C4BBF" w:rsidRDefault="009F492B" w:rsidP="003C4BBF">
      <w:pPr>
        <w:pStyle w:val="Asuntodelcomentario"/>
        <w:spacing w:line="520" w:lineRule="atLeast"/>
        <w:jc w:val="both"/>
        <w:rPr>
          <w:rFonts w:ascii="Futura Lt BT" w:hAnsi="Futura Lt BT"/>
          <w:sz w:val="34"/>
          <w:szCs w:val="34"/>
        </w:rPr>
      </w:pPr>
      <w:r w:rsidRPr="003C4BBF">
        <w:rPr>
          <w:rFonts w:ascii="Futura Lt BT" w:hAnsi="Futura Lt BT"/>
          <w:spacing w:val="-8"/>
          <w:sz w:val="34"/>
          <w:szCs w:val="34"/>
        </w:rPr>
        <w:t>Las actividades que mostraron los mayores crecimientos</w:t>
      </w:r>
      <w:r w:rsidRPr="003C4BBF">
        <w:rPr>
          <w:rFonts w:ascii="Futura Lt BT" w:hAnsi="Futura Lt BT"/>
          <w:sz w:val="34"/>
          <w:szCs w:val="34"/>
        </w:rPr>
        <w:t xml:space="preserve"> fueron: </w:t>
      </w:r>
      <w:r w:rsidR="00990AD7" w:rsidRPr="003C4BBF">
        <w:rPr>
          <w:rFonts w:ascii="Futura Lt BT" w:hAnsi="Futura Lt BT"/>
          <w:sz w:val="34"/>
          <w:szCs w:val="34"/>
        </w:rPr>
        <w:t>explotación de minas y canteras, 25.2 por ciento; construcción, 21.8 por ciento; comercio, 14.1 por ciento; hoteles y restaurantes, 11.8 por ciento; intermediación financiera y servicios conexos, 4.7 por ciento; y el grupo de otros servicios, 7.3 por ciento; entre otras. Por su parte, se registraron disminuciones en pesca y acuicultura, -14.2 por ciento; energía y agua, -6.9 por ciento; industria manufacturera, -3.3 por ciento; y agricultura, -3.2 por ciento; entre otras actividades.</w:t>
      </w:r>
    </w:p>
    <w:p w14:paraId="094C49BB" w14:textId="77777777" w:rsidR="00990AD7" w:rsidRPr="003C4BBF" w:rsidRDefault="00990AD7" w:rsidP="003C4BBF">
      <w:pPr>
        <w:pStyle w:val="Textocomentario"/>
        <w:spacing w:line="520" w:lineRule="atLeast"/>
        <w:rPr>
          <w:b/>
          <w:bCs/>
          <w:sz w:val="34"/>
          <w:szCs w:val="34"/>
        </w:rPr>
      </w:pPr>
    </w:p>
    <w:p w14:paraId="4EB551E4" w14:textId="77777777" w:rsidR="009F492B" w:rsidRPr="003C4BBF" w:rsidRDefault="00990AD7" w:rsidP="003C4BBF">
      <w:pPr>
        <w:pStyle w:val="Textocomentario"/>
        <w:spacing w:line="520" w:lineRule="atLeast"/>
        <w:jc w:val="both"/>
        <w:rPr>
          <w:rFonts w:ascii="Futura Lt BT" w:eastAsiaTheme="minorHAnsi" w:hAnsi="Futura Lt BT" w:cstheme="minorBidi"/>
          <w:b/>
          <w:bCs/>
          <w:sz w:val="34"/>
          <w:szCs w:val="34"/>
        </w:rPr>
      </w:pPr>
      <w:bookmarkStart w:id="1" w:name="_Hlk230342854"/>
      <w:r w:rsidRPr="003C4BBF">
        <w:rPr>
          <w:rFonts w:ascii="Futura Lt BT" w:eastAsiaTheme="minorHAnsi" w:hAnsi="Futura Lt BT" w:cstheme="minorBidi"/>
          <w:b/>
          <w:bCs/>
          <w:spacing w:val="-10"/>
          <w:sz w:val="34"/>
          <w:szCs w:val="34"/>
        </w:rPr>
        <w:t>En las actividades primarias, el crecimiento explotación</w:t>
      </w:r>
      <w:r w:rsidRPr="003C4BBF">
        <w:rPr>
          <w:rFonts w:ascii="Futura Lt BT" w:eastAsiaTheme="minorHAnsi" w:hAnsi="Futura Lt BT" w:cstheme="minorBidi"/>
          <w:b/>
          <w:bCs/>
          <w:sz w:val="34"/>
          <w:szCs w:val="34"/>
        </w:rPr>
        <w:t xml:space="preserve"> de minas y canteras, fue resultado, en gran medida, por el aumento en la minería metálica; y en pecuario se debió a mayor matanza vacuna y avícola, principalmente. Por otra parte, la disminución en la pesca y acuicultura fue resultado de la menor captura de escamas y langosta, entre otros recursos; en agricultura se originó por menores labores y producción en los cultivos de caña de azúcar, maní, maíz y frijol, entre otros; y en la silvicultura y extracción </w:t>
      </w:r>
      <w:r w:rsidRPr="003C4BBF">
        <w:rPr>
          <w:rFonts w:ascii="Futura Lt BT" w:eastAsiaTheme="minorHAnsi" w:hAnsi="Futura Lt BT" w:cstheme="minorBidi"/>
          <w:b/>
          <w:bCs/>
          <w:sz w:val="34"/>
          <w:szCs w:val="34"/>
        </w:rPr>
        <w:lastRenderedPageBreak/>
        <w:t>de madera se debió a la menor extracción de troncos de madera, principalmente</w:t>
      </w:r>
      <w:bookmarkEnd w:id="1"/>
      <w:r w:rsidR="009852AD" w:rsidRPr="003C4BBF">
        <w:rPr>
          <w:rFonts w:ascii="Futura Lt BT" w:eastAsiaTheme="minorHAnsi" w:hAnsi="Futura Lt BT" w:cstheme="minorBidi"/>
          <w:b/>
          <w:bCs/>
          <w:sz w:val="34"/>
          <w:szCs w:val="34"/>
        </w:rPr>
        <w:t>.</w:t>
      </w:r>
    </w:p>
    <w:p w14:paraId="1D137232" w14:textId="77777777" w:rsidR="009F492B" w:rsidRPr="003C4BBF" w:rsidRDefault="009F492B" w:rsidP="003C4BBF">
      <w:pPr>
        <w:pStyle w:val="Textocomentario"/>
        <w:spacing w:line="520" w:lineRule="atLeast"/>
        <w:jc w:val="both"/>
        <w:rPr>
          <w:b/>
          <w:bCs/>
          <w:sz w:val="34"/>
          <w:szCs w:val="34"/>
        </w:rPr>
      </w:pPr>
    </w:p>
    <w:p w14:paraId="0E109DE4" w14:textId="77777777" w:rsidR="00F917AA" w:rsidRPr="003C4BBF" w:rsidRDefault="009F492B" w:rsidP="003C4BBF">
      <w:pPr>
        <w:spacing w:line="520" w:lineRule="atLeast"/>
        <w:jc w:val="both"/>
        <w:rPr>
          <w:rFonts w:ascii="Futura Lt BT" w:hAnsi="Futura Lt BT" w:cs="Courier New"/>
          <w:b/>
          <w:bCs/>
          <w:sz w:val="34"/>
          <w:szCs w:val="34"/>
        </w:rPr>
      </w:pPr>
      <w:bookmarkStart w:id="2" w:name="_Hlk214872624"/>
      <w:bookmarkStart w:id="3" w:name="_Hlk230342875"/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Por su parte, en la industria manufacturera, 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 xml:space="preserve">se registró </w:t>
      </w:r>
      <w:r w:rsidR="00990AD7" w:rsidRPr="003C4BBF">
        <w:rPr>
          <w:rFonts w:ascii="Futura Lt BT" w:hAnsi="Futura Lt BT" w:cs="Courier New"/>
          <w:b/>
          <w:bCs/>
          <w:spacing w:val="-20"/>
          <w:sz w:val="34"/>
          <w:szCs w:val="34"/>
        </w:rPr>
        <w:t>disminución en la producción de derivados de petróleo,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 xml:space="preserve"> textiles, arneses automotrices, entre otros productos; lo cual fue atenuado por el crecimiento en la producción de cárnicos, bebidas, tabaco, entre otros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. Finalmente, en el grupo de servicios, </w:t>
      </w:r>
      <w:bookmarkEnd w:id="2"/>
      <w:r w:rsidR="007B0AF6" w:rsidRPr="003C4BBF">
        <w:rPr>
          <w:rFonts w:ascii="Futura Lt BT" w:hAnsi="Futura Lt BT" w:cs="Courier New"/>
          <w:b/>
          <w:bCs/>
          <w:sz w:val="34"/>
          <w:szCs w:val="34"/>
        </w:rPr>
        <w:t xml:space="preserve">las actividades que mostraron incrementos fueron: 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 xml:space="preserve">comercio, hoteles </w:t>
      </w:r>
      <w:r w:rsidR="00990AD7" w:rsidRPr="003C4BBF">
        <w:rPr>
          <w:rFonts w:ascii="Futura Lt BT" w:hAnsi="Futura Lt BT" w:cs="Courier New"/>
          <w:b/>
          <w:bCs/>
          <w:spacing w:val="-20"/>
          <w:sz w:val="34"/>
          <w:szCs w:val="34"/>
        </w:rPr>
        <w:t>y restaurantes, otros servicios, intermediación financiera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 xml:space="preserve"> y </w:t>
      </w:r>
      <w:r w:rsidR="00990AD7" w:rsidRPr="003C4BBF">
        <w:rPr>
          <w:rFonts w:ascii="Futura Lt BT" w:hAnsi="Futura Lt BT" w:cs="Courier New"/>
          <w:b/>
          <w:bCs/>
          <w:spacing w:val="-20"/>
          <w:sz w:val="34"/>
          <w:szCs w:val="34"/>
        </w:rPr>
        <w:t>servicios conexos, salud, transporte y comunicaciones,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 xml:space="preserve"> la propiedad de vivienda y enseñanza</w:t>
      </w:r>
      <w:bookmarkEnd w:id="3"/>
      <w:r w:rsidR="007B0AF6" w:rsidRPr="003C4BBF">
        <w:rPr>
          <w:rFonts w:ascii="Futura Lt BT" w:hAnsi="Futura Lt BT" w:cs="Courier New"/>
          <w:b/>
          <w:bCs/>
          <w:sz w:val="34"/>
          <w:szCs w:val="34"/>
        </w:rPr>
        <w:t>.</w:t>
      </w:r>
    </w:p>
    <w:p w14:paraId="2E85F05F" w14:textId="77777777" w:rsidR="007B0AF6" w:rsidRPr="003C4BBF" w:rsidRDefault="007B0AF6" w:rsidP="00B373F2">
      <w:pPr>
        <w:jc w:val="both"/>
        <w:rPr>
          <w:rFonts w:ascii="Futura Lt BT" w:hAnsi="Futura Lt BT"/>
          <w:b/>
          <w:bCs/>
          <w:noProof/>
          <w:sz w:val="34"/>
          <w:szCs w:val="34"/>
        </w:rPr>
      </w:pPr>
    </w:p>
    <w:p w14:paraId="63633D5C" w14:textId="77777777" w:rsidR="003F4B9E" w:rsidRPr="003C4BBF" w:rsidRDefault="003F4B9E" w:rsidP="00B373F2">
      <w:pPr>
        <w:jc w:val="both"/>
        <w:rPr>
          <w:rFonts w:ascii="Futura Lt BT" w:hAnsi="Futura Lt BT"/>
          <w:b/>
          <w:bCs/>
          <w:noProof/>
          <w:sz w:val="34"/>
          <w:szCs w:val="34"/>
        </w:rPr>
      </w:pPr>
    </w:p>
    <w:p w14:paraId="7135CBE2" w14:textId="4E67F61B" w:rsidR="002C239E" w:rsidRPr="003C4BBF" w:rsidRDefault="009F492B" w:rsidP="009852AD">
      <w:pPr>
        <w:rPr>
          <w:rFonts w:ascii="Futura Lt BT" w:hAnsi="Futura Lt BT"/>
          <w:b/>
          <w:bCs/>
          <w:sz w:val="24"/>
          <w:szCs w:val="24"/>
        </w:rPr>
      </w:pP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Managua, </w:t>
      </w:r>
      <w:r w:rsidR="009852AD" w:rsidRPr="003C4BBF">
        <w:rPr>
          <w:rFonts w:ascii="Futura Lt BT" w:hAnsi="Futura Lt BT" w:cs="Courier New"/>
          <w:b/>
          <w:bCs/>
          <w:sz w:val="34"/>
          <w:szCs w:val="34"/>
        </w:rPr>
        <w:t>2</w:t>
      </w:r>
      <w:r w:rsidR="00F24F62" w:rsidRPr="003C4BBF">
        <w:rPr>
          <w:rFonts w:ascii="Futura Lt BT" w:hAnsi="Futura Lt BT" w:cs="Courier New"/>
          <w:b/>
          <w:bCs/>
          <w:sz w:val="34"/>
          <w:szCs w:val="34"/>
        </w:rPr>
        <w:t>2</w:t>
      </w:r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de </w:t>
      </w:r>
      <w:proofErr w:type="gramStart"/>
      <w:r w:rsidR="006F063E" w:rsidRPr="003C4BBF">
        <w:rPr>
          <w:rFonts w:ascii="Futura Lt BT" w:hAnsi="Futura Lt BT" w:cs="Courier New"/>
          <w:b/>
          <w:bCs/>
          <w:sz w:val="34"/>
          <w:szCs w:val="34"/>
        </w:rPr>
        <w:t>M</w:t>
      </w:r>
      <w:r w:rsidR="00990AD7" w:rsidRPr="003C4BBF">
        <w:rPr>
          <w:rFonts w:ascii="Futura Lt BT" w:hAnsi="Futura Lt BT" w:cs="Courier New"/>
          <w:b/>
          <w:bCs/>
          <w:sz w:val="34"/>
          <w:szCs w:val="34"/>
        </w:rPr>
        <w:t>ayo</w:t>
      </w:r>
      <w:proofErr w:type="gramEnd"/>
      <w:r w:rsidRPr="003C4BBF">
        <w:rPr>
          <w:rFonts w:ascii="Futura Lt BT" w:hAnsi="Futura Lt BT" w:cs="Courier New"/>
          <w:b/>
          <w:bCs/>
          <w:sz w:val="34"/>
          <w:szCs w:val="34"/>
        </w:rPr>
        <w:t xml:space="preserve"> de 202</w:t>
      </w:r>
      <w:r w:rsidR="00A6361B" w:rsidRPr="003C4BBF">
        <w:rPr>
          <w:rFonts w:ascii="Futura Lt BT" w:hAnsi="Futura Lt BT" w:cs="Courier New"/>
          <w:b/>
          <w:bCs/>
          <w:sz w:val="34"/>
          <w:szCs w:val="34"/>
        </w:rPr>
        <w:t>6</w:t>
      </w:r>
      <w:r w:rsidR="002C239E" w:rsidRPr="003C4BBF">
        <w:rPr>
          <w:rFonts w:ascii="Futura Lt BT" w:hAnsi="Futura Lt BT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28CDFC5" wp14:editId="4DF5A27F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90180" cy="859790"/>
            <wp:effectExtent l="0" t="0" r="127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a de Prensa 2026 inferi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39E" w:rsidRPr="003C4BBF" w:rsidSect="00D92428">
      <w:pgSz w:w="12240" w:h="15840" w:code="119"/>
      <w:pgMar w:top="1134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FC55" w14:textId="77777777" w:rsidR="00E57E0C" w:rsidRDefault="00E57E0C" w:rsidP="002F0232">
      <w:r>
        <w:separator/>
      </w:r>
    </w:p>
  </w:endnote>
  <w:endnote w:type="continuationSeparator" w:id="0">
    <w:p w14:paraId="4EA235AA" w14:textId="77777777" w:rsidR="00E57E0C" w:rsidRDefault="00E57E0C" w:rsidP="002F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9706" w14:textId="77777777" w:rsidR="00E57E0C" w:rsidRDefault="00E57E0C" w:rsidP="002F0232">
      <w:r>
        <w:separator/>
      </w:r>
    </w:p>
  </w:footnote>
  <w:footnote w:type="continuationSeparator" w:id="0">
    <w:p w14:paraId="23784738" w14:textId="77777777" w:rsidR="00E57E0C" w:rsidRDefault="00E57E0C" w:rsidP="002F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64C2"/>
    <w:multiLevelType w:val="multilevel"/>
    <w:tmpl w:val="67BAE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D412F"/>
    <w:multiLevelType w:val="hybridMultilevel"/>
    <w:tmpl w:val="F5EE3FD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49505">
    <w:abstractNumId w:val="0"/>
  </w:num>
  <w:num w:numId="2" w16cid:durableId="112022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32"/>
    <w:rsid w:val="000033C9"/>
    <w:rsid w:val="0008373B"/>
    <w:rsid w:val="00113676"/>
    <w:rsid w:val="00162B35"/>
    <w:rsid w:val="0019318E"/>
    <w:rsid w:val="001B75AD"/>
    <w:rsid w:val="001E1C05"/>
    <w:rsid w:val="0028424A"/>
    <w:rsid w:val="002942DD"/>
    <w:rsid w:val="002C239E"/>
    <w:rsid w:val="002C68EB"/>
    <w:rsid w:val="002F0232"/>
    <w:rsid w:val="00330F30"/>
    <w:rsid w:val="00366237"/>
    <w:rsid w:val="003B1A12"/>
    <w:rsid w:val="003C4BBF"/>
    <w:rsid w:val="003E1532"/>
    <w:rsid w:val="003F4B9E"/>
    <w:rsid w:val="004013ED"/>
    <w:rsid w:val="00443153"/>
    <w:rsid w:val="00485127"/>
    <w:rsid w:val="00491182"/>
    <w:rsid w:val="00496819"/>
    <w:rsid w:val="004A4645"/>
    <w:rsid w:val="00507E46"/>
    <w:rsid w:val="00544501"/>
    <w:rsid w:val="0055065F"/>
    <w:rsid w:val="005A7E3F"/>
    <w:rsid w:val="006476C4"/>
    <w:rsid w:val="0068756F"/>
    <w:rsid w:val="00697C37"/>
    <w:rsid w:val="006E58B5"/>
    <w:rsid w:val="006F063E"/>
    <w:rsid w:val="006F2964"/>
    <w:rsid w:val="007624C7"/>
    <w:rsid w:val="007B0AF6"/>
    <w:rsid w:val="008234ED"/>
    <w:rsid w:val="00861FEB"/>
    <w:rsid w:val="008C268C"/>
    <w:rsid w:val="008C44DC"/>
    <w:rsid w:val="008F79DB"/>
    <w:rsid w:val="00940BB9"/>
    <w:rsid w:val="009423A6"/>
    <w:rsid w:val="0096311D"/>
    <w:rsid w:val="009852AD"/>
    <w:rsid w:val="00990AD7"/>
    <w:rsid w:val="009A0CCB"/>
    <w:rsid w:val="009F492B"/>
    <w:rsid w:val="00A3670F"/>
    <w:rsid w:val="00A6361B"/>
    <w:rsid w:val="00A918C7"/>
    <w:rsid w:val="00AD0088"/>
    <w:rsid w:val="00AD76E3"/>
    <w:rsid w:val="00B21520"/>
    <w:rsid w:val="00B373F2"/>
    <w:rsid w:val="00BC6C56"/>
    <w:rsid w:val="00BF489C"/>
    <w:rsid w:val="00D25AE2"/>
    <w:rsid w:val="00D8104A"/>
    <w:rsid w:val="00D92428"/>
    <w:rsid w:val="00DB356E"/>
    <w:rsid w:val="00E57E0C"/>
    <w:rsid w:val="00EB4D07"/>
    <w:rsid w:val="00EF450F"/>
    <w:rsid w:val="00F1632B"/>
    <w:rsid w:val="00F24F62"/>
    <w:rsid w:val="00F62711"/>
    <w:rsid w:val="00F917AA"/>
    <w:rsid w:val="00F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3675F"/>
  <w15:chartTrackingRefBased/>
  <w15:docId w15:val="{13268617-5809-47AD-9ACD-17D12256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3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02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232"/>
    <w:pPr>
      <w:spacing w:before="100" w:beforeAutospacing="1" w:after="100" w:afterAutospacing="1"/>
    </w:pPr>
    <w:rPr>
      <w:lang w:eastAsia="es-NI"/>
    </w:rPr>
  </w:style>
  <w:style w:type="paragraph" w:customStyle="1" w:styleId="isselectedend">
    <w:name w:val="isselectedend"/>
    <w:basedOn w:val="Normal"/>
    <w:uiPriority w:val="99"/>
    <w:semiHidden/>
    <w:rsid w:val="002F0232"/>
    <w:pPr>
      <w:spacing w:before="100" w:beforeAutospacing="1" w:after="100" w:afterAutospacing="1"/>
    </w:pPr>
    <w:rPr>
      <w:lang w:eastAsia="es-NI"/>
    </w:rPr>
  </w:style>
  <w:style w:type="paragraph" w:styleId="Encabezado">
    <w:name w:val="header"/>
    <w:basedOn w:val="Normal"/>
    <w:link w:val="EncabezadoCar"/>
    <w:uiPriority w:val="99"/>
    <w:unhideWhenUsed/>
    <w:rsid w:val="002F02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232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F0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32"/>
    <w:rPr>
      <w:rFonts w:ascii="Calibri" w:hAnsi="Calibri" w:cs="Calibri"/>
    </w:rPr>
  </w:style>
  <w:style w:type="paragraph" w:styleId="Sinespaciado">
    <w:name w:val="No Spacing"/>
    <w:uiPriority w:val="1"/>
    <w:qFormat/>
    <w:rsid w:val="00491182"/>
    <w:pPr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485127"/>
    <w:pPr>
      <w:ind w:left="720"/>
    </w:pPr>
  </w:style>
  <w:style w:type="paragraph" w:styleId="Textocomentario">
    <w:name w:val="annotation text"/>
    <w:basedOn w:val="Normal"/>
    <w:link w:val="TextocomentarioCar"/>
    <w:uiPriority w:val="99"/>
    <w:unhideWhenUsed/>
    <w:rsid w:val="009F492B"/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492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F492B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F49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EBF5-EE34-4664-A805-43F635EF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 Artola, Inty de los Andes</dc:creator>
  <cp:keywords/>
  <dc:description/>
  <cp:lastModifiedBy>marlonhenriquez375@gmail.com</cp:lastModifiedBy>
  <cp:revision>3</cp:revision>
  <cp:lastPrinted>2026-05-25T17:50:00Z</cp:lastPrinted>
  <dcterms:created xsi:type="dcterms:W3CDTF">2026-05-25T17:45:00Z</dcterms:created>
  <dcterms:modified xsi:type="dcterms:W3CDTF">2026-05-25T17:50:00Z</dcterms:modified>
</cp:coreProperties>
</file>